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3D" w:rsidRDefault="00442B3D" w:rsidP="00442B3D">
      <w:pPr>
        <w:spacing w:after="0" w:line="240" w:lineRule="auto"/>
        <w:ind w:firstLine="851"/>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Д</w:t>
      </w:r>
      <w:r w:rsidRPr="008F0BFC">
        <w:rPr>
          <w:rFonts w:ascii="Times New Roman" w:eastAsia="Times New Roman" w:hAnsi="Times New Roman" w:cs="Times New Roman"/>
          <w:b/>
          <w:bCs/>
          <w:kern w:val="36"/>
          <w:sz w:val="48"/>
          <w:szCs w:val="48"/>
          <w:lang w:eastAsia="ru-RU"/>
        </w:rPr>
        <w:t>обровольно</w:t>
      </w:r>
      <w:r>
        <w:rPr>
          <w:rFonts w:ascii="Times New Roman" w:eastAsia="Times New Roman" w:hAnsi="Times New Roman" w:cs="Times New Roman"/>
          <w:b/>
          <w:bCs/>
          <w:kern w:val="36"/>
          <w:sz w:val="48"/>
          <w:szCs w:val="48"/>
          <w:lang w:eastAsia="ru-RU"/>
        </w:rPr>
        <w:t>е</w:t>
      </w:r>
      <w:r w:rsidRPr="008F0BFC">
        <w:rPr>
          <w:rFonts w:ascii="Times New Roman" w:eastAsia="Times New Roman" w:hAnsi="Times New Roman" w:cs="Times New Roman"/>
          <w:b/>
          <w:bCs/>
          <w:kern w:val="36"/>
          <w:sz w:val="48"/>
          <w:szCs w:val="48"/>
          <w:lang w:eastAsia="ru-RU"/>
        </w:rPr>
        <w:t xml:space="preserve"> страховани</w:t>
      </w:r>
      <w:r>
        <w:rPr>
          <w:rFonts w:ascii="Times New Roman" w:eastAsia="Times New Roman" w:hAnsi="Times New Roman" w:cs="Times New Roman"/>
          <w:b/>
          <w:bCs/>
          <w:kern w:val="36"/>
          <w:sz w:val="48"/>
          <w:szCs w:val="48"/>
          <w:lang w:eastAsia="ru-RU"/>
        </w:rPr>
        <w:t>е</w:t>
      </w:r>
      <w:r w:rsidRPr="008F0BFC">
        <w:rPr>
          <w:rFonts w:ascii="Times New Roman" w:eastAsia="Times New Roman" w:hAnsi="Times New Roman" w:cs="Times New Roman"/>
          <w:b/>
          <w:bCs/>
          <w:kern w:val="36"/>
          <w:sz w:val="48"/>
          <w:szCs w:val="48"/>
          <w:lang w:eastAsia="ru-RU"/>
        </w:rPr>
        <w:t xml:space="preserve"> дополнительной накопительной пенсии</w:t>
      </w:r>
    </w:p>
    <w:p w:rsidR="00442B3D" w:rsidRPr="008F0BFC" w:rsidRDefault="00442B3D" w:rsidP="00442B3D">
      <w:pPr>
        <w:spacing w:after="0" w:line="240" w:lineRule="auto"/>
        <w:ind w:firstLine="851"/>
        <w:jc w:val="both"/>
        <w:outlineLvl w:val="0"/>
        <w:rPr>
          <w:rFonts w:ascii="Times New Roman" w:eastAsia="Times New Roman" w:hAnsi="Times New Roman" w:cs="Times New Roman"/>
          <w:b/>
          <w:bCs/>
          <w:kern w:val="36"/>
          <w:sz w:val="48"/>
          <w:szCs w:val="48"/>
          <w:lang w:eastAsia="ru-RU"/>
        </w:rPr>
      </w:pP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27 сентября 2021 г. Президентом Республики Беларусь подписан Указ № 367 «О добровольном страховании дополнительной накопительной пенсии» (далее — Указ № 367).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С 1 октября 2022 г. Указом № 367 введен </w:t>
      </w:r>
      <w:bookmarkStart w:id="0" w:name="_GoBack"/>
      <w:bookmarkEnd w:id="0"/>
      <w:r w:rsidRPr="00A64F12">
        <w:rPr>
          <w:rFonts w:ascii="Times New Roman" w:eastAsia="Times New Roman" w:hAnsi="Times New Roman" w:cs="Times New Roman"/>
          <w:sz w:val="29"/>
          <w:szCs w:val="29"/>
          <w:lang w:eastAsia="ru-RU"/>
        </w:rPr>
        <w:t xml:space="preserve">дополнительный вид пенсионного страхования — добровольное страхование дополнительной накопительной пенсии.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Работник, желающий участвовать в данном виде страхования, с 1 октября 2022 г. может уплачивать дополнительный взнос на накопительную пенсию. Осуществление добровольного страхования дополнительной накопительной пенсии возложено на государственную страховую организацию — республиканское унитарное страховое предприятие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xml:space="preserve">».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 </w:t>
      </w:r>
      <w:r w:rsidRPr="00A64F12">
        <w:rPr>
          <w:rFonts w:ascii="Times New Roman" w:eastAsia="Times New Roman" w:hAnsi="Times New Roman" w:cs="Times New Roman"/>
          <w:sz w:val="29"/>
          <w:szCs w:val="29"/>
          <w:lang w:eastAsia="ru-RU"/>
        </w:rPr>
        <w:br/>
        <w:t xml:space="preserve">55 лет для женщин, 60 лет для мужчин. </w:t>
      </w:r>
    </w:p>
    <w:p w:rsidR="00442B3D" w:rsidRPr="00A64F12" w:rsidRDefault="00442B3D" w:rsidP="00442B3D">
      <w:pPr>
        <w:spacing w:after="0" w:line="240" w:lineRule="auto"/>
        <w:ind w:firstLine="851"/>
        <w:jc w:val="both"/>
        <w:outlineLvl w:val="2"/>
        <w:rPr>
          <w:rFonts w:ascii="Times New Roman" w:eastAsia="Times New Roman" w:hAnsi="Times New Roman" w:cs="Times New Roman"/>
          <w:b/>
          <w:bCs/>
          <w:sz w:val="29"/>
          <w:szCs w:val="29"/>
          <w:lang w:eastAsia="ru-RU"/>
        </w:rPr>
      </w:pPr>
      <w:r w:rsidRPr="00A64F12">
        <w:rPr>
          <w:rFonts w:ascii="Times New Roman" w:eastAsia="Times New Roman" w:hAnsi="Times New Roman" w:cs="Times New Roman"/>
          <w:b/>
          <w:bCs/>
          <w:sz w:val="29"/>
          <w:szCs w:val="29"/>
          <w:lang w:eastAsia="ru-RU"/>
        </w:rPr>
        <w:t>Механизм работы новой программы:</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Работник, желающий участвовать в дополнительном накопительном пенсионном страховании, подает заявление страховщику (в данном случае — это республиканское унитарное страховое предприятие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xml:space="preserve">») для заключения договора дополнительного накопительного пенсионного страхования. </w:t>
      </w:r>
    </w:p>
    <w:p w:rsidR="00442B3D"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Процент перечислений по договору дополнительного накопительного пенсионного страхования работник определяет самостоятельно и варьируется он от 1% до 13 % — это максимальный тариф от сумм выплат, начисленных в пользу работника. Это и будет страховой тариф и, соответственно, сумма страховых взносов по договору дополнительного накопительного пенсионного страхования, которая будет уплачиваться страховщику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xml:space="preserve">»). </w:t>
      </w:r>
      <w:r w:rsidRPr="00A64F12">
        <w:rPr>
          <w:rFonts w:ascii="Times New Roman" w:eastAsia="Times New Roman" w:hAnsi="Times New Roman" w:cs="Times New Roman"/>
          <w:sz w:val="29"/>
          <w:szCs w:val="29"/>
          <w:lang w:eastAsia="ru-RU"/>
        </w:rPr>
        <w:br/>
        <w:t>Причем, этот тариф распределяется между работодателем и работником таким образом, что не более 10 % уплачивается за счет средств работника посредством удержания из сумм выплат, начисленных в пользу работника, и </w:t>
      </w:r>
      <w:bookmarkStart w:id="1" w:name="16"/>
      <w:bookmarkEnd w:id="1"/>
      <w:r w:rsidRPr="00A64F12">
        <w:rPr>
          <w:rFonts w:ascii="Times New Roman" w:eastAsia="Times New Roman" w:hAnsi="Times New Roman" w:cs="Times New Roman"/>
          <w:sz w:val="29"/>
          <w:szCs w:val="29"/>
          <w:lang w:eastAsia="ru-RU"/>
        </w:rPr>
        <w:t xml:space="preserve">не более 3 процентов, — за счет средств работодателя (далее — страховой взнос за счет средств работодателя). </w:t>
      </w:r>
    </w:p>
    <w:p w:rsidR="00442B3D" w:rsidRDefault="00442B3D" w:rsidP="00442B3D">
      <w:pPr>
        <w:spacing w:after="0" w:line="240" w:lineRule="auto"/>
        <w:ind w:firstLine="851"/>
        <w:jc w:val="both"/>
        <w:rPr>
          <w:rFonts w:ascii="Times New Roman" w:eastAsia="Times New Roman" w:hAnsi="Times New Roman" w:cs="Times New Roman"/>
          <w:sz w:val="29"/>
          <w:szCs w:val="29"/>
          <w:lang w:eastAsia="ru-RU"/>
        </w:rPr>
      </w:pP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1"/>
        <w:gridCol w:w="2710"/>
        <w:gridCol w:w="1736"/>
      </w:tblGrid>
      <w:tr w:rsidR="00442B3D" w:rsidRPr="00A64F12" w:rsidTr="00442B3D">
        <w:trPr>
          <w:tblCellSpacing w:w="15" w:type="dxa"/>
        </w:trPr>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b/>
                <w:bCs/>
                <w:sz w:val="29"/>
                <w:szCs w:val="29"/>
                <w:lang w:eastAsia="ru-RU"/>
              </w:rPr>
            </w:pPr>
            <w:r w:rsidRPr="00A64F12">
              <w:rPr>
                <w:rFonts w:ascii="Times New Roman" w:eastAsia="Times New Roman" w:hAnsi="Times New Roman" w:cs="Times New Roman"/>
                <w:b/>
                <w:bCs/>
                <w:sz w:val="29"/>
                <w:szCs w:val="29"/>
                <w:lang w:eastAsia="ru-RU"/>
              </w:rPr>
              <w:t>Работник</w:t>
            </w:r>
            <w:r w:rsidRPr="00A64F12">
              <w:rPr>
                <w:rFonts w:ascii="Times New Roman" w:eastAsia="Times New Roman" w:hAnsi="Times New Roman" w:cs="Times New Roman"/>
                <w:b/>
                <w:bCs/>
                <w:sz w:val="29"/>
                <w:szCs w:val="29"/>
                <w:lang w:eastAsia="ru-RU"/>
              </w:rPr>
              <w:br/>
              <w:t>(право работника)</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b/>
                <w:bCs/>
                <w:sz w:val="29"/>
                <w:szCs w:val="29"/>
                <w:lang w:eastAsia="ru-RU"/>
              </w:rPr>
            </w:pPr>
            <w:r w:rsidRPr="00A64F12">
              <w:rPr>
                <w:rFonts w:ascii="Times New Roman" w:eastAsia="Times New Roman" w:hAnsi="Times New Roman" w:cs="Times New Roman"/>
                <w:b/>
                <w:bCs/>
                <w:sz w:val="29"/>
                <w:szCs w:val="29"/>
                <w:lang w:eastAsia="ru-RU"/>
              </w:rPr>
              <w:t>Работодатель</w:t>
            </w:r>
            <w:r w:rsidRPr="00A64F12">
              <w:rPr>
                <w:rFonts w:ascii="Times New Roman" w:eastAsia="Times New Roman" w:hAnsi="Times New Roman" w:cs="Times New Roman"/>
                <w:b/>
                <w:bCs/>
                <w:sz w:val="29"/>
                <w:szCs w:val="29"/>
                <w:lang w:eastAsia="ru-RU"/>
              </w:rPr>
              <w:br/>
              <w:t>(обязанность)</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b/>
                <w:bCs/>
                <w:sz w:val="29"/>
                <w:szCs w:val="29"/>
                <w:lang w:eastAsia="ru-RU"/>
              </w:rPr>
            </w:pPr>
            <w:r w:rsidRPr="00A64F12">
              <w:rPr>
                <w:rFonts w:ascii="Times New Roman" w:eastAsia="Times New Roman" w:hAnsi="Times New Roman" w:cs="Times New Roman"/>
                <w:b/>
                <w:bCs/>
                <w:sz w:val="29"/>
                <w:szCs w:val="29"/>
                <w:lang w:eastAsia="ru-RU"/>
              </w:rPr>
              <w:t>Итого</w:t>
            </w:r>
          </w:p>
        </w:tc>
      </w:tr>
      <w:tr w:rsidR="00442B3D" w:rsidRPr="00A64F12" w:rsidTr="00442B3D">
        <w:trPr>
          <w:tblCellSpacing w:w="15" w:type="dxa"/>
        </w:trPr>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1%</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1%</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2%</w:t>
            </w:r>
          </w:p>
        </w:tc>
      </w:tr>
      <w:tr w:rsidR="00442B3D" w:rsidRPr="00A64F12" w:rsidTr="00442B3D">
        <w:trPr>
          <w:tblCellSpacing w:w="15" w:type="dxa"/>
        </w:trPr>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2%</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2%</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4%</w:t>
            </w:r>
          </w:p>
        </w:tc>
      </w:tr>
      <w:tr w:rsidR="00442B3D" w:rsidRPr="00A64F12" w:rsidTr="00442B3D">
        <w:trPr>
          <w:tblCellSpacing w:w="15" w:type="dxa"/>
        </w:trPr>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3%</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3%</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6%</w:t>
            </w:r>
          </w:p>
        </w:tc>
      </w:tr>
      <w:tr w:rsidR="00442B3D" w:rsidRPr="00A64F12" w:rsidTr="00442B3D">
        <w:trPr>
          <w:tblCellSpacing w:w="15" w:type="dxa"/>
        </w:trPr>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4%</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3%</w:t>
            </w:r>
          </w:p>
        </w:tc>
        <w:tc>
          <w:tcPr>
            <w:tcW w:w="0" w:type="auto"/>
            <w:vAlign w:val="center"/>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7%</w:t>
            </w:r>
          </w:p>
        </w:tc>
      </w:tr>
      <w:tr w:rsidR="00442B3D" w:rsidRPr="00A64F12" w:rsidTr="00442B3D">
        <w:trPr>
          <w:tblCellSpacing w:w="15" w:type="dxa"/>
        </w:trPr>
        <w:tc>
          <w:tcPr>
            <w:tcW w:w="0" w:type="auto"/>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10%</w:t>
            </w:r>
          </w:p>
        </w:tc>
        <w:tc>
          <w:tcPr>
            <w:tcW w:w="0" w:type="auto"/>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3%</w:t>
            </w:r>
          </w:p>
        </w:tc>
        <w:tc>
          <w:tcPr>
            <w:tcW w:w="0" w:type="auto"/>
            <w:hideMark/>
          </w:tcPr>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13%</w:t>
            </w:r>
          </w:p>
        </w:tc>
      </w:tr>
    </w:tbl>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При вступлении в новую программу работник может выбирать следующие условия договора страхования:</w:t>
      </w:r>
    </w:p>
    <w:p w:rsidR="00442B3D" w:rsidRPr="00A64F12" w:rsidRDefault="00442B3D" w:rsidP="00442B3D">
      <w:pPr>
        <w:numPr>
          <w:ilvl w:val="0"/>
          <w:numId w:val="1"/>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тариф взноса работник выбирает сам. В совокупности со взносом работодателя взнос не может превышать 13%. Тариф можно менять, но не чаще 1 раза в год.</w:t>
      </w:r>
    </w:p>
    <w:p w:rsidR="00442B3D" w:rsidRPr="00A64F12" w:rsidRDefault="00442B3D" w:rsidP="00442B3D">
      <w:pPr>
        <w:numPr>
          <w:ilvl w:val="0"/>
          <w:numId w:val="1"/>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в любой момент можно приостановить свое участие в программе и затем вернуться к уплате дополнительных взносов.</w:t>
      </w:r>
    </w:p>
    <w:p w:rsidR="00442B3D" w:rsidRPr="00A64F12" w:rsidRDefault="00442B3D" w:rsidP="00442B3D">
      <w:pPr>
        <w:numPr>
          <w:ilvl w:val="0"/>
          <w:numId w:val="1"/>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работник выбирает срок выплаты дополнительной пенсии — 5 или 10 лет после достижения общеустановленного пенсионного возраста.</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Обязанность по расчету дополнительных взносов работника и работодателя и их перечислению на счет страховщика возложена на работодателя. Дополнительные взносы работника на накопительную пенсию по его заявлению будут ежемесячно перечисляться самим работодателем в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xml:space="preserve">» не позднее установленного дня выплаты заработной платы за истекший месяц.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Например: если в дополнительные пенсионные накопления работника нужно будет направить 3% из средств работодателя, то в бюджет фонда соцзащиты работодателем будут перечислены 25%. В итоге, суммарно взнос работодателя, как и ранее, составит 28%.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Новая программа обладает существенными преимуществами для участников:</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Для работника: </w:t>
      </w:r>
    </w:p>
    <w:p w:rsidR="00442B3D" w:rsidRPr="00A64F12" w:rsidRDefault="00442B3D" w:rsidP="00442B3D">
      <w:pPr>
        <w:numPr>
          <w:ilvl w:val="0"/>
          <w:numId w:val="2"/>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предусмотрена льгота по подоходному налогу (налоговый вычет): работающий гражданин, который является плательщиком подоходного налога, имеет право на получение социального налогового вычета в сумме, уплаченной им в качестве страховых взносов на дополнительную накопительную пенсию; </w:t>
      </w:r>
    </w:p>
    <w:p w:rsidR="00442B3D" w:rsidRPr="00A64F12" w:rsidRDefault="00442B3D" w:rsidP="00442B3D">
      <w:pPr>
        <w:numPr>
          <w:ilvl w:val="0"/>
          <w:numId w:val="2"/>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lastRenderedPageBreak/>
        <w:t>часть накоплений (до 3%) формируется за счет государства (бюджета фонда социальной защиты населения);</w:t>
      </w:r>
    </w:p>
    <w:p w:rsidR="00442B3D" w:rsidRPr="00A64F12" w:rsidRDefault="00442B3D" w:rsidP="00442B3D">
      <w:pPr>
        <w:numPr>
          <w:ilvl w:val="0"/>
          <w:numId w:val="2"/>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дополнительный доход в пенсионном возрасте;</w:t>
      </w:r>
    </w:p>
    <w:p w:rsidR="00442B3D" w:rsidRPr="00A64F12" w:rsidRDefault="00442B3D" w:rsidP="00442B3D">
      <w:pPr>
        <w:numPr>
          <w:ilvl w:val="0"/>
          <w:numId w:val="2"/>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гарантия сохранности пенсионных накоплений — государство гарантирует сохранность пенсионных накоплений по договорам, заключенным с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w:t>
      </w:r>
    </w:p>
    <w:p w:rsidR="00442B3D" w:rsidRPr="00A64F12" w:rsidRDefault="00442B3D" w:rsidP="00442B3D">
      <w:pPr>
        <w:numPr>
          <w:ilvl w:val="0"/>
          <w:numId w:val="2"/>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денежные средства по страхованию дополнительной накопительной пенсии наследуются по закону. Граждане имеют в любое время оформить завещание, в котором может указать, кто будет вправе получать его пенсионные накопления после смерти. В случае, если смерть работника наступила до достижения им общеустановленного пенсионного возраста, его наследникам выплачивается выкупная сумма в размере суммы фактически уплаченных страховых взносов (с учетом доходности) за вычетом расходов страховщика на ведение дела.</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В случае, если смерть работника наступила после достижения </w:t>
      </w:r>
      <w:proofErr w:type="gramStart"/>
      <w:r w:rsidRPr="00A64F12">
        <w:rPr>
          <w:rFonts w:ascii="Times New Roman" w:eastAsia="Times New Roman" w:hAnsi="Times New Roman" w:cs="Times New Roman"/>
          <w:sz w:val="29"/>
          <w:szCs w:val="29"/>
          <w:lang w:eastAsia="ru-RU"/>
        </w:rPr>
        <w:t>общеустановленного пенсионного возраста</w:t>
      </w:r>
      <w:proofErr w:type="gramEnd"/>
      <w:r w:rsidRPr="00A64F12">
        <w:rPr>
          <w:rFonts w:ascii="Times New Roman" w:eastAsia="Times New Roman" w:hAnsi="Times New Roman" w:cs="Times New Roman"/>
          <w:sz w:val="29"/>
          <w:szCs w:val="29"/>
          <w:lang w:eastAsia="ru-RU"/>
        </w:rPr>
        <w:t xml:space="preserve"> и он не успел получить причитающуюся ему всю сумму страхового обеспечения, остаток накопленной суммы также выплачивается его наследникам.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Для работодателя: </w:t>
      </w:r>
    </w:p>
    <w:p w:rsidR="00442B3D" w:rsidRPr="00A64F12" w:rsidRDefault="00442B3D" w:rsidP="00442B3D">
      <w:pPr>
        <w:numPr>
          <w:ilvl w:val="0"/>
          <w:numId w:val="3"/>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страховые взносы включаются в состав затрат по производству и реализации продукции, товаров (работ, услуг), учитываемых при налогообложении;</w:t>
      </w:r>
    </w:p>
    <w:p w:rsidR="00442B3D" w:rsidRPr="00A64F12" w:rsidRDefault="00442B3D" w:rsidP="00442B3D">
      <w:pPr>
        <w:numPr>
          <w:ilvl w:val="0"/>
          <w:numId w:val="3"/>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на сумму страховых взносов, за счет средств работодателя, не начисляются взносы по обязательному государственному страхованию в бюджет ФСЗН.</w:t>
      </w:r>
    </w:p>
    <w:p w:rsidR="00442B3D" w:rsidRDefault="00442B3D" w:rsidP="00442B3D">
      <w:pPr>
        <w:spacing w:after="0" w:line="240" w:lineRule="auto"/>
        <w:ind w:firstLine="851"/>
        <w:jc w:val="both"/>
        <w:rPr>
          <w:rFonts w:ascii="Times New Roman" w:eastAsia="Times New Roman" w:hAnsi="Times New Roman" w:cs="Times New Roman"/>
          <w:sz w:val="29"/>
          <w:szCs w:val="29"/>
          <w:lang w:eastAsia="ru-RU"/>
        </w:rPr>
      </w:pP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Порядок вступления граждан в новую программу страхования:</w:t>
      </w:r>
    </w:p>
    <w:p w:rsidR="00442B3D" w:rsidRPr="00A64F12" w:rsidRDefault="00442B3D" w:rsidP="00442B3D">
      <w:pPr>
        <w:numPr>
          <w:ilvl w:val="0"/>
          <w:numId w:val="4"/>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Подать заявление. В офисе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или на сайте компании заключить договор дополнительного накопительного пенсионного страхования;</w:t>
      </w:r>
    </w:p>
    <w:p w:rsidR="00442B3D" w:rsidRPr="00A64F12" w:rsidRDefault="00442B3D" w:rsidP="00442B3D">
      <w:pPr>
        <w:numPr>
          <w:ilvl w:val="0"/>
          <w:numId w:val="4"/>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Выбрать тариф по договору дополнительного накопительного пенсионного страхования — от 1% до 13% от заработной платы, из него:</w:t>
      </w:r>
      <w:r w:rsidRPr="00A64F12">
        <w:rPr>
          <w:rFonts w:ascii="Times New Roman" w:eastAsia="Times New Roman" w:hAnsi="Times New Roman" w:cs="Times New Roman"/>
          <w:sz w:val="29"/>
          <w:szCs w:val="29"/>
          <w:lang w:eastAsia="ru-RU"/>
        </w:rPr>
        <w:br/>
        <w:t>с работника удерживается — от 1% до 10%</w:t>
      </w:r>
      <w:r w:rsidRPr="00A64F12">
        <w:rPr>
          <w:rFonts w:ascii="Times New Roman" w:eastAsia="Times New Roman" w:hAnsi="Times New Roman" w:cs="Times New Roman"/>
          <w:sz w:val="29"/>
          <w:szCs w:val="29"/>
          <w:lang w:eastAsia="ru-RU"/>
        </w:rPr>
        <w:br/>
        <w:t>работодатель перечисляет — от 1% до 3%;</w:t>
      </w:r>
    </w:p>
    <w:p w:rsidR="00442B3D" w:rsidRPr="00A64F12" w:rsidRDefault="00442B3D" w:rsidP="00442B3D">
      <w:pPr>
        <w:numPr>
          <w:ilvl w:val="0"/>
          <w:numId w:val="4"/>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Определить срок выплаты своих дополнительных накоплений пенсии — в течение 5 или 10 лет после достижения общеустановленного пенсионного возраста;</w:t>
      </w:r>
    </w:p>
    <w:p w:rsidR="00442B3D" w:rsidRPr="00A64F12" w:rsidRDefault="00442B3D" w:rsidP="00442B3D">
      <w:pPr>
        <w:numPr>
          <w:ilvl w:val="0"/>
          <w:numId w:val="4"/>
        </w:num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Уведомить работодателя о заключении договора с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с предоставлением копии свидетельства дополнительного накопительного пенсионного страхования.</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lastRenderedPageBreak/>
        <w:t>Важно знать!!! РУСП «</w:t>
      </w:r>
      <w:proofErr w:type="spellStart"/>
      <w:r w:rsidRPr="00A64F12">
        <w:rPr>
          <w:rFonts w:ascii="Times New Roman" w:eastAsia="Times New Roman" w:hAnsi="Times New Roman" w:cs="Times New Roman"/>
          <w:sz w:val="29"/>
          <w:szCs w:val="29"/>
          <w:lang w:eastAsia="ru-RU"/>
        </w:rPr>
        <w:t>Стравита</w:t>
      </w:r>
      <w:proofErr w:type="spellEnd"/>
      <w:r w:rsidRPr="00A64F12">
        <w:rPr>
          <w:rFonts w:ascii="Times New Roman" w:eastAsia="Times New Roman" w:hAnsi="Times New Roman" w:cs="Times New Roman"/>
          <w:sz w:val="29"/>
          <w:szCs w:val="29"/>
          <w:lang w:eastAsia="ru-RU"/>
        </w:rPr>
        <w:t xml:space="preserve">» может отказать в заключении договора страхования, если работодатель работающего гражданина находится в процессе ликвидации и (или) экономической несостоятельности (банкротства).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Можно ли прервать договор, забрать деньги раньше наступления пенсионного возраста?</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 xml:space="preserve">Забрать взносы досрочно нельзя (за исключением случаев установления работнику в период до достижения общего пенсионного возраста 1-й или 2-й группы инвалидности). Но прекратить уплату страховых взносов можно. В этом случае фактически уплаченные страховые взносы фиксируются на именном лицевом счете работника, на них продолжит начисляться дополнительная доходность. </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sz w:val="29"/>
          <w:szCs w:val="29"/>
          <w:lang w:eastAsia="ru-RU"/>
        </w:rPr>
        <w:t>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 5 или 10 лет.</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iCs/>
          <w:sz w:val="29"/>
          <w:szCs w:val="29"/>
          <w:lang w:eastAsia="ru-RU"/>
        </w:rPr>
        <w:t>Появление новой добровольной пенсионной программы не затрагивает государственные обязательства по солидарной пенсионной системе.</w:t>
      </w:r>
    </w:p>
    <w:p w:rsidR="00442B3D" w:rsidRPr="00A64F12" w:rsidRDefault="00442B3D" w:rsidP="00442B3D">
      <w:pPr>
        <w:spacing w:after="0" w:line="240" w:lineRule="auto"/>
        <w:ind w:firstLine="851"/>
        <w:jc w:val="both"/>
        <w:rPr>
          <w:rFonts w:ascii="Times New Roman" w:eastAsia="Times New Roman" w:hAnsi="Times New Roman" w:cs="Times New Roman"/>
          <w:sz w:val="29"/>
          <w:szCs w:val="29"/>
          <w:lang w:eastAsia="ru-RU"/>
        </w:rPr>
      </w:pPr>
      <w:r w:rsidRPr="00A64F12">
        <w:rPr>
          <w:rFonts w:ascii="Times New Roman" w:eastAsia="Times New Roman" w:hAnsi="Times New Roman" w:cs="Times New Roman"/>
          <w:iCs/>
          <w:sz w:val="29"/>
          <w:szCs w:val="29"/>
          <w:lang w:eastAsia="ru-RU"/>
        </w:rPr>
        <w:t>Конституционные гарантии по социальному обеспечению в старости, инвалидности, в случае потери кормильца остаются неизменными. Все гарантии государства по трудовым пенсиям сохранены.</w:t>
      </w:r>
    </w:p>
    <w:p w:rsidR="007F6395" w:rsidRDefault="00442B3D" w:rsidP="00442B3D">
      <w:pPr>
        <w:spacing w:after="0" w:line="240" w:lineRule="auto"/>
        <w:jc w:val="both"/>
      </w:pPr>
    </w:p>
    <w:sectPr w:rsidR="007F6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43C"/>
    <w:multiLevelType w:val="multilevel"/>
    <w:tmpl w:val="4CFE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20CDE"/>
    <w:multiLevelType w:val="multilevel"/>
    <w:tmpl w:val="B60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D498B"/>
    <w:multiLevelType w:val="multilevel"/>
    <w:tmpl w:val="3E3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D7059"/>
    <w:multiLevelType w:val="multilevel"/>
    <w:tmpl w:val="B1C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3D"/>
    <w:rsid w:val="001E7F95"/>
    <w:rsid w:val="00442B3D"/>
    <w:rsid w:val="00F5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5341"/>
  <w15:chartTrackingRefBased/>
  <w15:docId w15:val="{34DD4D8C-FB8C-4719-8C61-74AD71DE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2B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Савчук Н.В.</dc:creator>
  <cp:keywords/>
  <dc:description/>
  <cp:lastModifiedBy>Савчук Н.В.</cp:lastModifiedBy>
  <cp:revision>1</cp:revision>
  <dcterms:created xsi:type="dcterms:W3CDTF">2024-12-06T07:07:00Z</dcterms:created>
  <dcterms:modified xsi:type="dcterms:W3CDTF">2024-12-06T07:08:00Z</dcterms:modified>
</cp:coreProperties>
</file>